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spacing w:before="0" w:beforeAutospacing="0" w:after="0" w:line="240" w:lineRule="auto"/>
        <w:rPr>
          <w:rFonts w:eastAsiaTheme="minorEastAsia"/>
          <w:b/>
          <w:sz w:val="34"/>
          <w:szCs w:val="28"/>
          <w:lang w:val="en-US"/>
        </w:rPr>
      </w:pPr>
      <w:r>
        <w:rPr>
          <w:rFonts w:eastAsiaTheme="minorEastAsia"/>
          <w:b/>
          <w:sz w:val="34"/>
          <w:szCs w:val="28"/>
        </w:rPr>
      </w:r>
      <w:r>
        <w:rPr>
          <w:rFonts w:ascii="PT Astra Serif" w:hAnsi="PT Astra Serif" w:eastAsia="PT Astra Serif" w:cs="PT Astra Serif"/>
          <w:b/>
          <w:sz w:val="3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46760" cy="906780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4532426" name=""/>
                        <pic:cNvPicPr/>
                        <pic:nvPr/>
                      </pic:nvPicPr>
                      <pic:blipFill>
                        <a:blip r:embed="rId13">
                          <a:extLs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/>
                      </pic:blipFill>
                      <pic:spPr bwMode="auto">
                        <a:xfrm rot="0" flipH="0" flipV="0">
                          <a:off x="0" y="0"/>
                          <a:ext cx="746758" cy="9067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8.80pt;height:71.40pt;mso-wrap-distance-left:0.00pt;mso-wrap-distance-top:0.00pt;mso-wrap-distance-right:0.00pt;mso-wrap-distance-bottom:0.00pt;rotation:0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eastAsiaTheme="minorEastAsia"/>
          <w:b/>
          <w:sz w:val="34"/>
          <w:szCs w:val="28"/>
          <w:lang w:val="en-US"/>
        </w:rPr>
      </w:r>
      <w:r>
        <w:rPr>
          <w:rFonts w:eastAsiaTheme="minorEastAsia"/>
          <w:b/>
          <w:sz w:val="34"/>
          <w:szCs w:val="28"/>
          <w:lang w:val="en-US"/>
        </w:rPr>
      </w:r>
    </w:p>
    <w:p>
      <w:pPr>
        <w:ind w:firstLine="0"/>
        <w:jc w:val="center"/>
        <w:spacing w:before="0" w:beforeAutospacing="0" w:after="0" w:line="240" w:lineRule="auto"/>
        <w:rPr>
          <w:rFonts w:ascii="Times New Roman" w:hAnsi="Times New Roman" w:cs="Times New Roman"/>
          <w:b/>
          <w:sz w:val="16"/>
          <w:szCs w:val="28"/>
        </w:rPr>
      </w:pPr>
      <w:r>
        <w:rPr>
          <w:rFonts w:ascii="Times New Roman" w:hAnsi="Times New Roman" w:eastAsia="Times New Roman" w:cs="Times New Roman" w:eastAsiaTheme="minorEastAsia"/>
          <w:b/>
          <w:sz w:val="16"/>
          <w:szCs w:val="28"/>
          <w:lang w:val="en-US"/>
        </w:rPr>
      </w:r>
      <w:r>
        <w:rPr>
          <w:rFonts w:ascii="Times New Roman" w:hAnsi="Times New Roman" w:cs="Times New Roman"/>
          <w:b/>
          <w:sz w:val="16"/>
          <w:szCs w:val="28"/>
        </w:rPr>
      </w:r>
      <w:r>
        <w:rPr>
          <w:rFonts w:ascii="Times New Roman" w:hAnsi="Times New Roman" w:cs="Times New Roman"/>
          <w:b/>
          <w:sz w:val="16"/>
          <w:szCs w:val="28"/>
        </w:rPr>
      </w:r>
    </w:p>
    <w:p>
      <w:pPr>
        <w:ind w:firstLine="0"/>
        <w:jc w:val="center"/>
        <w:spacing w:before="0" w:beforeAutospacing="0" w:after="0" w:line="240" w:lineRule="auto"/>
        <w:rPr>
          <w:rFonts w:ascii="PT Astra Serif" w:hAnsi="PT Astra Serif" w:cs="PT Astra Serif"/>
          <w:b/>
          <w:sz w:val="34"/>
          <w:szCs w:val="28"/>
        </w:rPr>
      </w:pPr>
      <w:r>
        <w:rPr>
          <w:rFonts w:ascii="PT Astra Serif" w:hAnsi="PT Astra Serif" w:eastAsia="PT Astra Serif" w:cs="PT Astra Serif" w:eastAsiaTheme="minorEastAsia"/>
          <w:b/>
          <w:sz w:val="34"/>
          <w:szCs w:val="28"/>
        </w:rPr>
        <w:t xml:space="preserve">ЦЕНТРАЛЬНАЯ ИЗБИРАТЕЛЬНАЯ КОМИССИЯ</w:t>
      </w:r>
      <w:r>
        <w:rPr>
          <w:rFonts w:ascii="PT Astra Serif" w:hAnsi="PT Astra Serif" w:eastAsia="PT Astra Serif" w:cs="PT Astra Serif" w:eastAsiaTheme="minorEastAsia"/>
          <w:b/>
          <w:sz w:val="34"/>
          <w:szCs w:val="28"/>
        </w:rPr>
        <w:br/>
        <w:t xml:space="preserve">РОССИЙСКОЙ ФЕДЕРАЦИИ</w:t>
      </w:r>
      <w:r>
        <w:rPr>
          <w:rFonts w:ascii="PT Astra Serif" w:hAnsi="PT Astra Serif" w:cs="PT Astra Serif"/>
          <w:b/>
          <w:sz w:val="34"/>
          <w:szCs w:val="28"/>
        </w:rPr>
      </w:r>
      <w:r>
        <w:rPr>
          <w:rFonts w:ascii="PT Astra Serif" w:hAnsi="PT Astra Serif" w:cs="PT Astra Serif"/>
          <w:b/>
          <w:sz w:val="34"/>
          <w:szCs w:val="28"/>
        </w:rPr>
      </w:r>
    </w:p>
    <w:p>
      <w:pPr>
        <w:ind w:firstLine="0"/>
        <w:jc w:val="center"/>
        <w:spacing w:before="0" w:beforeAutospacing="0" w:after="0" w:line="240" w:lineRule="auto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 w:eastAsiaTheme="minorEastAsia"/>
          <w:sz w:val="28"/>
          <w:szCs w:val="28"/>
        </w:rPr>
      </w:r>
      <w:r>
        <w:rPr>
          <w:rFonts w:ascii="PT Astra Serif" w:hAnsi="PT Astra Serif" w:cs="PT Astra Serif"/>
          <w:szCs w:val="28"/>
        </w:rPr>
      </w:r>
      <w:r>
        <w:rPr>
          <w:rFonts w:ascii="PT Astra Serif" w:hAnsi="PT Astra Serif" w:cs="PT Astra Serif"/>
          <w:szCs w:val="28"/>
        </w:rPr>
      </w:r>
    </w:p>
    <w:p>
      <w:pPr>
        <w:ind w:firstLine="0"/>
        <w:jc w:val="center"/>
        <w:spacing w:before="0" w:beforeAutospacing="0" w:after="0" w:line="240" w:lineRule="auto"/>
        <w:rPr>
          <w:rFonts w:ascii="PT Astra Serif" w:hAnsi="PT Astra Serif" w:cs="PT Astra Serif"/>
          <w:b/>
          <w:spacing w:val="60"/>
          <w:sz w:val="32"/>
          <w:szCs w:val="28"/>
        </w:rPr>
      </w:pPr>
      <w:r>
        <w:rPr>
          <w:rFonts w:ascii="PT Astra Serif" w:hAnsi="PT Astra Serif" w:eastAsia="PT Astra Serif" w:cs="PT Astra Serif" w:eastAsiaTheme="minorEastAsia"/>
          <w:b/>
          <w:spacing w:val="60"/>
          <w:sz w:val="32"/>
          <w:szCs w:val="28"/>
        </w:rPr>
        <w:t xml:space="preserve">ПОСТАНОВЛЕНИЕ</w:t>
      </w:r>
      <w:r>
        <w:rPr>
          <w:rFonts w:ascii="PT Astra Serif" w:hAnsi="PT Astra Serif" w:cs="PT Astra Serif"/>
          <w:b/>
          <w:spacing w:val="60"/>
          <w:sz w:val="32"/>
          <w:szCs w:val="28"/>
        </w:rPr>
      </w:r>
      <w:r>
        <w:rPr>
          <w:rFonts w:ascii="PT Astra Serif" w:hAnsi="PT Astra Serif" w:cs="PT Astra Serif"/>
          <w:b/>
          <w:spacing w:val="60"/>
          <w:sz w:val="32"/>
          <w:szCs w:val="28"/>
        </w:rPr>
      </w:r>
    </w:p>
    <w:p>
      <w:pPr>
        <w:ind w:firstLine="0"/>
        <w:jc w:val="center"/>
        <w:spacing w:before="0" w:beforeAutospacing="0"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 w:eastAsiaTheme="minorEastAsia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3107"/>
      </w:tblGrid>
      <w:tr>
        <w:tblPrEx/>
        <w:trPr>
          <w:trHeight w:val="287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107" w:type="dxa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eastAsia="PT Astra Serif" w:cs="PT Astra Serif" w:eastAsiaTheme="minorEastAsia"/>
                <w:sz w:val="28"/>
                <w:szCs w:val="28"/>
              </w:rPr>
              <w:t xml:space="preserve">17 июня 2026 г.</w:t>
            </w:r>
            <w:r>
              <w:rPr>
                <w:rFonts w:ascii="PT Astra Serif" w:hAnsi="PT Astra Serif" w:cs="PT Astra Serif"/>
                <w:szCs w:val="28"/>
              </w:rPr>
            </w:r>
            <w:r>
              <w:rPr>
                <w:rFonts w:ascii="PT Astra Serif" w:hAnsi="PT Astra Serif" w:cs="PT Astra Serif"/>
                <w:szCs w:val="28"/>
              </w:rPr>
            </w:r>
          </w:p>
        </w:tc>
        <w:tc>
          <w:tcPr>
            <w:tcW w:w="3107" w:type="dxa"/>
            <w:textDirection w:val="lrTb"/>
            <w:noWrap w:val="false"/>
          </w:tcPr>
          <w:p>
            <w:pPr>
              <w:ind w:firstLine="0"/>
              <w:jc w:val="right"/>
              <w:spacing w:before="0" w:beforeAutospacing="0" w:after="0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eastAsia="PT Astra Serif" w:cs="PT Astra Serif" w:eastAsiaTheme="minorEastAsia"/>
                <w:sz w:val="28"/>
                <w:szCs w:val="28"/>
              </w:rPr>
              <w:t xml:space="preserve">№</w:t>
            </w:r>
            <w:r>
              <w:rPr>
                <w:rFonts w:ascii="PT Astra Serif" w:hAnsi="PT Astra Serif" w:cs="PT Astra Serif"/>
                <w:szCs w:val="28"/>
              </w:rPr>
            </w:r>
            <w:r>
              <w:rPr>
                <w:rFonts w:ascii="PT Astra Serif" w:hAnsi="PT Astra Serif" w:cs="PT Astra Serif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107" w:type="dxa"/>
            <w:textDirection w:val="lrTb"/>
            <w:noWrap w:val="false"/>
          </w:tcPr>
          <w:p>
            <w:pPr>
              <w:ind w:left="142" w:right="0" w:firstLine="0"/>
              <w:jc w:val="left"/>
              <w:spacing w:before="0" w:beforeAutospacing="0" w:after="0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eastAsia="PT Astra Serif" w:cs="PT Astra Serif" w:eastAsiaTheme="minorEastAsia"/>
                <w:sz w:val="28"/>
                <w:szCs w:val="28"/>
              </w:rPr>
              <w:t xml:space="preserve">9/90-9</w:t>
            </w:r>
            <w:r>
              <w:rPr>
                <w:rFonts w:ascii="PT Astra Serif" w:hAnsi="PT Astra Serif" w:cs="PT Astra Serif"/>
                <w:szCs w:val="28"/>
              </w:rPr>
            </w:r>
            <w:r>
              <w:rPr>
                <w:rFonts w:ascii="PT Astra Serif" w:hAnsi="PT Astra Serif" w:cs="PT Astra Serif"/>
                <w:szCs w:val="28"/>
              </w:rPr>
            </w:r>
          </w:p>
        </w:tc>
      </w:tr>
    </w:tbl>
    <w:p>
      <w:pPr>
        <w:ind w:firstLine="0"/>
        <w:jc w:val="center"/>
        <w:spacing w:before="0" w:beforeAutospacing="0" w:after="0"/>
        <w:rPr>
          <w:rFonts w:ascii="PT Astra Serif" w:hAnsi="PT Astra Serif" w:cs="PT Astra Serif"/>
          <w:b/>
          <w:sz w:val="24"/>
          <w:szCs w:val="28"/>
        </w:rPr>
      </w:pPr>
      <w:r>
        <w:rPr>
          <w:rFonts w:ascii="PT Astra Serif" w:hAnsi="PT Astra Serif" w:eastAsia="PT Astra Serif" w:cs="PT Astra Serif" w:eastAsiaTheme="minorEastAsia"/>
          <w:b/>
          <w:sz w:val="22"/>
          <w:szCs w:val="24"/>
        </w:rPr>
        <w:t xml:space="preserve">Москва</w:t>
      </w:r>
      <w:r>
        <w:rPr>
          <w:rFonts w:ascii="PT Astra Serif" w:hAnsi="PT Astra Serif" w:cs="PT Astra Serif"/>
          <w:b/>
          <w:sz w:val="24"/>
          <w:szCs w:val="28"/>
        </w:rPr>
      </w:r>
      <w:r>
        <w:rPr>
          <w:rFonts w:ascii="PT Astra Serif" w:hAnsi="PT Astra Serif" w:cs="PT Astra Serif"/>
          <w:b/>
          <w:sz w:val="24"/>
          <w:szCs w:val="28"/>
        </w:rPr>
      </w:r>
    </w:p>
    <w:p>
      <w:pPr>
        <w:ind w:firstLine="0"/>
        <w:jc w:val="center"/>
        <w:spacing w:before="0" w:beforeAutospacing="0" w:after="0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eastAsia="PT Astra Serif" w:cs="PT Astra Serif"/>
          <w:b/>
          <w:szCs w:val="28"/>
        </w:rPr>
      </w:r>
      <w:r>
        <w:rPr>
          <w:rFonts w:ascii="PT Astra Serif" w:hAnsi="PT Astra Serif" w:cs="PT Astra Serif"/>
          <w:b/>
          <w:szCs w:val="28"/>
        </w:rPr>
      </w:r>
      <w:r>
        <w:rPr>
          <w:rFonts w:ascii="PT Astra Serif" w:hAnsi="PT Astra Serif" w:cs="PT Astra Serif"/>
          <w:b/>
          <w:szCs w:val="28"/>
        </w:rPr>
      </w:r>
    </w:p>
    <w:p>
      <w:pPr>
        <w:jc w:val="center"/>
        <w:spacing w:before="0" w:beforeAutospacing="0" w:after="0"/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</w:p>
    <w:p>
      <w:pPr>
        <w:jc w:val="center"/>
        <w:spacing w:before="0" w:after="0"/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</w:p>
    <w:p>
      <w:pPr>
        <w:jc w:val="center"/>
        <w:spacing w:before="0" w:after="0"/>
        <w:rPr>
          <w:rFonts w:ascii="PT Astra Serif" w:hAnsi="PT Astra Serif" w:cs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О проведении голосования на выборах депутатов Государственной Думы Федерального Собрания Российской Федерации девятого созыва</w:t>
        <w:br/>
        <w:t xml:space="preserve">и иных совмещенных с ними выборах и референдумах, назначенных</w:t>
        <w:br/>
        <w:t xml:space="preserve">на 20 сентября 2026 года, в течение нескольких дней подряд</w:t>
      </w:r>
      <w:r>
        <w:rPr>
          <w:rFonts w:ascii="PT Astra Serif" w:hAnsi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cs="PT Astra Serif"/>
          <w:b/>
          <w:bCs/>
          <w:sz w:val="28"/>
          <w:szCs w:val="28"/>
          <w:highlight w:val="none"/>
        </w:rPr>
      </w:r>
    </w:p>
    <w:p>
      <w:pPr>
        <w:jc w:val="center"/>
        <w:spacing w:before="0" w:after="0"/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</w:p>
    <w:p>
      <w:pPr>
        <w:jc w:val="center"/>
        <w:spacing w:before="0" w:after="0"/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before="0" w:after="0" w:line="360" w:lineRule="auto"/>
        <w:rPr>
          <w:rFonts w:ascii="PT Astra Serif" w:hAnsi="PT Astra Serif" w:cs="PT Astra Serif"/>
          <w:spacing w:val="80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В целях создания дополнительных возможностей реализации избирательных прав и права на участие в референдуме граждан </w:t>
        <w:br/>
        <w:t xml:space="preserve">Российской Федерации, руководствуясь статьей 63</w:t>
      </w:r>
      <w:r>
        <w:rPr>
          <w:rFonts w:ascii="PT Astra Serif" w:hAnsi="PT Astra Serif" w:eastAsia="PT Astra Serif" w:cs="PT Astra Serif"/>
          <w:sz w:val="28"/>
          <w:szCs w:val="28"/>
          <w:highlight w:val="none"/>
          <w:vertAlign w:val="superscript"/>
        </w:rPr>
        <w:t xml:space="preserve">1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Федерального закона «Об основных гарантиях избирательных прав и права на участие </w:t>
        <w:br/>
        <w:t xml:space="preserve">в референд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уме граждан Российской Федерации», статьей 80</w:t>
      </w:r>
      <w:r>
        <w:rPr>
          <w:rFonts w:ascii="PT Astra Serif" w:hAnsi="PT Astra Serif" w:eastAsia="PT Astra Serif" w:cs="PT Astra Serif"/>
          <w:sz w:val="28"/>
          <w:szCs w:val="28"/>
          <w:highlight w:val="none"/>
          <w:vertAlign w:val="superscript"/>
        </w:rPr>
        <w:t xml:space="preserve">1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Федерального закона «О выборах депутатов Государственной Думы Федерального Собрания Российской Федерации», Центральная избирательная комиссия Российской Федерации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spacing w:val="80"/>
          <w:sz w:val="28"/>
          <w:szCs w:val="28"/>
          <w:highlight w:val="none"/>
        </w:rPr>
        <w:t xml:space="preserve">постановляет:</w:t>
      </w:r>
      <w:r>
        <w:rPr>
          <w:rFonts w:ascii="PT Astra Serif" w:hAnsi="PT Astra Serif" w:cs="PT Astra Serif"/>
          <w:spacing w:val="80"/>
          <w:sz w:val="28"/>
          <w:szCs w:val="28"/>
          <w:highlight w:val="none"/>
        </w:rPr>
      </w:r>
      <w:r>
        <w:rPr>
          <w:rFonts w:ascii="PT Astra Serif" w:hAnsi="PT Astra Serif" w:cs="PT Astra Serif"/>
          <w:spacing w:val="80"/>
          <w:sz w:val="28"/>
          <w:szCs w:val="28"/>
          <w:highlight w:val="none"/>
        </w:rPr>
      </w:r>
    </w:p>
    <w:p>
      <w:pPr>
        <w:pStyle w:val="896"/>
        <w:ind w:firstLine="709"/>
        <w:jc w:val="both"/>
        <w:spacing w:before="0" w:after="0" w:line="360" w:lineRule="auto"/>
        <w:rPr>
          <w:rFonts w:ascii="PT Astra Serif" w:hAnsi="PT Astra Serif" w:cs="PT Astra Serif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1. Провести голосование на выборах депутатов Государственной Думы Федерального Собрания Российской Федерации девятого созыва и иных совмещенных с ними выборах и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референдумах, назначенных на 20 сентября 2026 года, в течение нескольких дней подряд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–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18, 19 и 20 сентября </w:t>
        <w:br/>
        <w:t xml:space="preserve">2026 года.</w:t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ind w:firstLine="709"/>
        <w:jc w:val="both"/>
        <w:spacing w:before="0" w:after="0" w:line="360" w:lineRule="auto"/>
        <w:rPr>
          <w:rFonts w:ascii="PT Astra Serif" w:hAnsi="PT Astra Serif" w:cs="PT Astra Serif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ind w:firstLine="709"/>
        <w:jc w:val="both"/>
        <w:spacing w:before="0" w:after="0" w:line="360" w:lineRule="auto"/>
        <w:rPr>
          <w:rFonts w:ascii="PT Astra Serif" w:hAnsi="PT Astra Serif" w:cs="PT Astra Serif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ind w:firstLine="709"/>
        <w:jc w:val="both"/>
        <w:spacing w:before="0" w:after="0" w:line="360" w:lineRule="auto"/>
        <w:shd w:val="clear" w:color="ffffff" w:themeColor="background1" w:fill="ffffff" w:themeFill="background1"/>
        <w:rPr>
          <w:rFonts w:ascii="PT Astra Serif" w:hAnsi="PT Astra Serif" w:cs="PT Astra Serif"/>
          <w:sz w:val="28"/>
          <w:szCs w:val="28"/>
          <w:highlight w:val="none"/>
          <w14:ligatures w14:val="non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2. Провести на выборах и референдумах, указанных в пункте 1 настоящего постановления, 18 и 19 сентября 2026 года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голосование</w:t>
        <w:br/>
        <w:t xml:space="preserve">с использованием дополнительной возможности реализации избирательных прав, права на участие в референдуме граждан Российской Федерации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– голосование групп избирателей, участников референдума, которые проживают (находятся) в населенных пунктах и иных местах,</w:t>
        <w:br/>
        <w:t xml:space="preserve">где отсутствуют помещения для голосования и транспортное сообщение</w:t>
        <w:br/>
        <w:t xml:space="preserve">с которыми затруднено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а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в субъектах Российской Федерации, территории которых прилегают к государственной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границе Российской Федерации,</w:t>
        <w:br/>
        <w:t xml:space="preserve">на избирательных участках, образованных или определенных решением соответствующей избирательной комиссии для проведения голосования избирателей, не имеющих регистрации по месту жительства в пределах Российской Федерации, котор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ые постоянно проживают за пределами территории Российской Федерации,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–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18, 19 и 20 сентября 2026 года.</w:t>
      </w:r>
      <w:r>
        <w:rPr>
          <w:rFonts w:ascii="PT Astra Serif" w:hAnsi="PT Astra Serif" w:cs="PT Astra Serif"/>
          <w:sz w:val="28"/>
          <w:szCs w:val="28"/>
          <w:highlight w:val="none"/>
          <w14:ligatures w14:val="none"/>
        </w:rPr>
      </w:r>
      <w:r>
        <w:rPr>
          <w:rFonts w:ascii="PT Astra Serif" w:hAnsi="PT Astra Serif" w:cs="PT Astra Serif"/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spacing w:before="0" w:after="0" w:line="360" w:lineRule="auto"/>
        <w:rPr>
          <w:rFonts w:ascii="PT Astra Serif" w:hAnsi="PT Astra Serif" w:cs="PT Astra Serif"/>
          <w:sz w:val="28"/>
          <w:szCs w:val="28"/>
          <w:highlight w:val="white"/>
          <w14:ligatures w14:val="non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yellow"/>
        </w:rPr>
      </w:r>
      <w:r>
        <w:rPr>
          <w:rFonts w:ascii="PT Astra Serif" w:hAnsi="PT Astra Serif" w:eastAsia="PT Astra Serif" w:cs="PT Astra Serif"/>
          <w:strike w:val="0"/>
          <w:sz w:val="28"/>
          <w:szCs w:val="28"/>
          <w:highlight w:val="none"/>
        </w:rPr>
        <w:t xml:space="preserve">3. 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Г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олосование, предусмотренное пунктами 1 и 2 настоящего постановления, проводится в соответствии с Положением об особенностях голосования, установления итогов голосования в случае принятия решения </w:t>
        <w:br/>
        <w:t xml:space="preserve">о проведении голосования на выборах, референдумах в течение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нескольких дней подряд, утвержденным постановлением Центральной избирательной комиссии Российской Федерации от 8 июня 2022 года № 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86/718-8, с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у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четом особенностей, предусмотренных пунктами 2 и 4 настоящего постановления.</w:t>
      </w:r>
      <w:r>
        <w:rPr>
          <w:rFonts w:ascii="PT Astra Serif" w:hAnsi="PT Astra Serif" w:cs="PT Astra Serif"/>
          <w:sz w:val="28"/>
          <w:szCs w:val="28"/>
          <w:highlight w:val="white"/>
          <w14:ligatures w14:val="none"/>
        </w:rPr>
      </w:r>
      <w:r>
        <w:rPr>
          <w:rFonts w:ascii="PT Astra Serif" w:hAnsi="PT Astra Serif" w:cs="PT Astra Serif"/>
          <w:sz w:val="28"/>
          <w:szCs w:val="28"/>
          <w:highlight w:val="white"/>
          <w14:ligatures w14:val="none"/>
        </w:rPr>
      </w:r>
    </w:p>
    <w:p>
      <w:pPr>
        <w:ind w:firstLine="709"/>
        <w:jc w:val="both"/>
        <w:spacing w:before="0" w:after="0" w:line="360" w:lineRule="auto"/>
        <w:rPr>
          <w:rFonts w:ascii="PT Astra Serif" w:hAnsi="PT Astra Serif" w:cs="PT Astra Serif"/>
          <w:sz w:val="28"/>
          <w:szCs w:val="28"/>
          <w:highlight w:val="none"/>
          <w14:ligatures w14:val="non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4. 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В целях обеспечения безопасности, защиты жизни и здоровья граждан Российской Федерации при подготовке и проведении выборов </w:t>
        <w:br/>
        <w:t xml:space="preserve">и референдумов, указанных в пункте 1 настоящего постановления, установить,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что на территориях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Донецкой Народной Респуб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лики, </w:t>
        <w:br/>
        <w:t xml:space="preserve">Луганской Народной Республики, </w:t>
      </w:r>
      <w:r>
        <w:rPr>
          <w:rFonts w:ascii="PT Astra Serif" w:hAnsi="PT Astra Serif" w:eastAsia="PT Astra Serif" w:cs="PT Astra Serif"/>
          <w:i w:val="0"/>
          <w:iCs w:val="0"/>
          <w:sz w:val="28"/>
          <w:szCs w:val="28"/>
          <w:highlight w:val="none"/>
        </w:rPr>
        <w:t xml:space="preserve">Ре</w:t>
      </w:r>
      <w:r>
        <w:rPr>
          <w:rFonts w:ascii="PT Astra Serif" w:hAnsi="PT Astra Serif" w:eastAsia="PT Astra Serif" w:cs="PT Astra Serif"/>
          <w:i w:val="0"/>
          <w:iCs w:val="0"/>
          <w:sz w:val="28"/>
          <w:szCs w:val="28"/>
          <w:highlight w:val="none"/>
        </w:rPr>
        <w:t xml:space="preserve">спублики Крым, Краснодарского </w:t>
        <w:br/>
        <w:t xml:space="preserve">края, Белгородской области, Брянской области, Воронежской области,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Запорожской области, </w:t>
      </w:r>
      <w:r>
        <w:rPr>
          <w:rFonts w:ascii="PT Astra Serif" w:hAnsi="PT Astra Serif" w:eastAsia="PT Astra Serif" w:cs="PT Astra Serif"/>
          <w:i w:val="0"/>
          <w:iCs w:val="0"/>
          <w:sz w:val="28"/>
          <w:szCs w:val="28"/>
          <w:highlight w:val="none"/>
        </w:rPr>
        <w:t xml:space="preserve">Курской области, Ростовской области,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Херсонской области</w:t>
      </w:r>
      <w:r>
        <w:rPr>
          <w:rFonts w:ascii="PT Astra Serif" w:hAnsi="PT Astra Serif" w:eastAsia="PT Astra Serif" w:cs="PT Astra Serif"/>
          <w:i w:val="0"/>
          <w:iCs w:val="0"/>
          <w:sz w:val="28"/>
          <w:szCs w:val="28"/>
          <w:highlight w:val="none"/>
        </w:rPr>
        <w:t xml:space="preserve"> и города федерального значения Севастополя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голосование </w:t>
        <w:br/>
        <w:t xml:space="preserve">с использованием дополнительных возможностей реализации избирательных прав, права на участие в референдуме граждан Российской Федерации – г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олосование избирателей, участников референдума в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не помещения для голосования на территориях и в местах, пригодных к оборудованию для проведения голосования (на придомовых территориях, на территориях общего пользования и в иных местах), и голосование групп избирателей, участников референдума, которые про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живают (находятся) в населенных пунктах и иных местах, где отсутствуют помещения для голосования </w:t>
        <w:br/>
        <w:t xml:space="preserve">и транспортное сообщение с которыми затруднено, проводится </w:t>
        <w:br/>
        <w:t xml:space="preserve">18, 19 и 20 сентября 2026 года.</w:t>
      </w:r>
      <w:r>
        <w:rPr>
          <w:rFonts w:ascii="PT Astra Serif" w:hAnsi="PT Astra Serif" w:cs="PT Astra Serif"/>
          <w:sz w:val="28"/>
          <w:szCs w:val="28"/>
          <w:highlight w:val="none"/>
          <w14:ligatures w14:val="none"/>
        </w:rPr>
      </w:r>
      <w:r>
        <w:rPr>
          <w:rFonts w:ascii="PT Astra Serif" w:hAnsi="PT Astra Serif" w:cs="PT Astra Serif"/>
          <w:sz w:val="28"/>
          <w:szCs w:val="28"/>
          <w:highlight w:val="none"/>
          <w14:ligatures w14:val="none"/>
        </w:rPr>
      </w:r>
    </w:p>
    <w:p>
      <w:pPr>
        <w:pStyle w:val="940"/>
        <w:ind w:firstLine="709"/>
        <w:spacing w:after="0" w:line="360" w:lineRule="auto"/>
        <w:rPr>
          <w:rFonts w:ascii="PT Astra Serif" w:hAnsi="PT Astra Serif" w:cs="PT Astra Serif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highlight w:val="none"/>
        </w:rPr>
        <w:t xml:space="preserve">5. 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Опубликовать настоящее постановление в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официальном печатном органе Центральной избирательной комиссии Российской Федерации – журнале «Вестник Центральной избирательной комиссии Российской Федерации» и официальном сетевом издании «Вестник Центральной избирательной комиссии Российской Федерации».</w:t>
      </w:r>
      <w:r>
        <w:rPr>
          <w:rFonts w:ascii="PT Astra Serif" w:hAnsi="PT Astra Serif" w:cs="PT Astra Serif"/>
          <w:highlight w:val="none"/>
        </w:rPr>
      </w:r>
      <w:r>
        <w:rPr>
          <w:rFonts w:ascii="PT Astra Serif" w:hAnsi="PT Astra Serif" w:cs="PT Astra Serif"/>
          <w:highlight w:val="none"/>
        </w:rPr>
      </w:r>
    </w:p>
    <w:p>
      <w:pPr>
        <w:pStyle w:val="896"/>
        <w:contextualSpacing/>
        <w:ind w:firstLine="709"/>
        <w:jc w:val="both"/>
        <w:spacing w:before="0" w:after="0" w:line="36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944"/>
        <w:ind w:left="0" w:right="459" w:firstLine="709"/>
        <w:jc w:val="left"/>
        <w:spacing w:line="360" w:lineRule="auto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386"/>
        <w:gridCol w:w="3969"/>
      </w:tblGrid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pStyle w:val="944"/>
              <w:ind w:right="459" w:firstLine="0"/>
              <w:jc w:val="center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Председатель</w:t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  <w:p>
            <w:pPr>
              <w:pStyle w:val="944"/>
              <w:ind w:right="459" w:firstLine="0"/>
              <w:jc w:val="center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pPr>
            <w:r>
              <w:rPr>
                <w:rFonts w:ascii="PT Astra Serif" w:hAnsi="PT Astra Serif" w:eastAsia="PT Astra Serif" w:cs="PT Astra Serif"/>
              </w:rPr>
              <w:t xml:space="preserve">Центральной избирательной комиссии Российской Федерации</w:t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</w:tc>
        <w:tc>
          <w:tcPr>
            <w:tcW w:w="3969" w:type="dxa"/>
            <w:vAlign w:val="bottom"/>
            <w:textDirection w:val="lrTb"/>
            <w:noWrap w:val="false"/>
          </w:tcPr>
          <w:p>
            <w:pPr>
              <w:pStyle w:val="944"/>
              <w:ind w:right="0" w:firstLine="0"/>
              <w:jc w:val="right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Э.А. Памфилова</w:t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pStyle w:val="944"/>
              <w:ind w:right="459" w:firstLine="0"/>
              <w:jc w:val="center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944"/>
              <w:ind w:right="0" w:firstLine="0"/>
              <w:jc w:val="right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pStyle w:val="944"/>
              <w:ind w:right="459" w:firstLine="0"/>
              <w:jc w:val="center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pPr>
            <w:r>
              <w:rPr>
                <w:rFonts w:ascii="PT Astra Serif" w:hAnsi="PT Astra Serif" w:eastAsia="PT Astra Serif" w:cs="PT Astra Serif"/>
              </w:rPr>
              <w:t xml:space="preserve">Секретарь</w:t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  <w:p>
            <w:pPr>
              <w:pStyle w:val="944"/>
              <w:ind w:right="459" w:firstLine="0"/>
              <w:jc w:val="center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pPr>
            <w:r>
              <w:rPr>
                <w:rFonts w:ascii="PT Astra Serif" w:hAnsi="PT Astra Serif" w:eastAsia="PT Astra Serif" w:cs="PT Astra Serif"/>
              </w:rPr>
              <w:t xml:space="preserve">Центральной избирательной комиссии</w:t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  <w:p>
            <w:pPr>
              <w:pStyle w:val="944"/>
              <w:ind w:right="459" w:firstLine="0"/>
              <w:jc w:val="center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pPr>
            <w:r>
              <w:rPr>
                <w:rFonts w:ascii="PT Astra Serif" w:hAnsi="PT Astra Serif" w:eastAsia="PT Astra Serif" w:cs="PT Astra Serif"/>
              </w:rPr>
              <w:t xml:space="preserve">Российской Федерации</w:t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</w:tc>
        <w:tc>
          <w:tcPr>
            <w:tcW w:w="3969" w:type="dxa"/>
            <w:vAlign w:val="bottom"/>
            <w:textDirection w:val="lrTb"/>
            <w:noWrap w:val="false"/>
          </w:tcPr>
          <w:p>
            <w:pPr>
              <w:pStyle w:val="944"/>
              <w:ind w:right="0" w:firstLine="0"/>
              <w:jc w:val="right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Н.А. </w:t>
            </w:r>
            <w:r>
              <w:rPr>
                <w:rFonts w:ascii="PT Astra Serif" w:hAnsi="PT Astra Serif" w:eastAsia="PT Astra Serif" w:cs="PT Astra Serif"/>
              </w:rPr>
              <w:t xml:space="preserve">Бударина</w:t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</w:tc>
      </w:tr>
    </w:tbl>
    <w:p>
      <w:pPr>
        <w:pStyle w:val="896"/>
        <w:contextualSpacing/>
        <w:ind w:firstLine="709"/>
        <w:jc w:val="both"/>
        <w:spacing w:before="0" w:after="0" w:line="36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jc w:val="right"/>
        <w:spacing w:before="0" w:after="0"/>
        <w:rPr>
          <w:rFonts w:ascii="Times New Roman CYR" w:hAnsi="Times New Roman CYR"/>
          <w:sz w:val="28"/>
          <w:szCs w:val="28"/>
          <w:highlight w:val="none"/>
        </w:rPr>
      </w:pPr>
      <w:r>
        <w:rPr>
          <w:rFonts w:ascii="Times New Roman CYR" w:hAnsi="Times New Roman CYR"/>
          <w:sz w:val="28"/>
          <w:szCs w:val="28"/>
          <w:highlight w:val="none"/>
        </w:rPr>
      </w:r>
      <w:r>
        <w:rPr>
          <w:rFonts w:ascii="Times New Roman CYR" w:hAnsi="Times New Roman CYR"/>
          <w:sz w:val="28"/>
          <w:szCs w:val="28"/>
          <w:highlight w:val="none"/>
        </w:rPr>
      </w:r>
      <w:r>
        <w:rPr>
          <w:rFonts w:ascii="Times New Roman CYR" w:hAnsi="Times New Roman CYR"/>
          <w:sz w:val="28"/>
          <w:szCs w:val="28"/>
          <w:highlight w:val="none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Times New Roman CYR">
    <w:panose1 w:val="02020603050405020304"/>
  </w:font>
  <w:font w:name="Cambria">
    <w:panose1 w:val="0204050305040603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8"/>
      <w:spacing w:before="0" w:beforeAutospacing="0"/>
      <w:rPr>
        <w:rFonts w:ascii="PT Astra Serif" w:hAnsi="PT Astra Serif" w:cs="PT Astra Serif"/>
        <w:sz w:val="16"/>
        <w:szCs w:val="16"/>
      </w:rPr>
    </w:pPr>
    <w:r>
      <w:rPr>
        <w:rFonts w:ascii="PT Astra Serif" w:hAnsi="PT Astra Serif" w:eastAsia="PT Astra Serif" w:cs="PT Astra Serif"/>
        <w:sz w:val="16"/>
        <w:szCs w:val="16"/>
      </w:rPr>
      <w:t xml:space="preserve">s0306009</w:t>
    </w:r>
    <w:r>
      <w:rPr>
        <w:rFonts w:ascii="PT Astra Serif" w:hAnsi="PT Astra Serif" w:cs="PT Astra Serif"/>
        <w:sz w:val="16"/>
        <w:szCs w:val="16"/>
      </w:rPr>
    </w:r>
    <w:r>
      <w:rPr>
        <w:rFonts w:ascii="PT Astra Serif" w:hAnsi="PT Astra Serif" w:cs="PT Astra Serif"/>
        <w:sz w:val="16"/>
        <w:szCs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8"/>
      <w:spacing w:before="0" w:beforeAutospacing="0"/>
      <w:rPr>
        <w:rFonts w:ascii="PT Astra Serif" w:hAnsi="PT Astra Serif" w:cs="PT Astra Serif"/>
        <w:sz w:val="16"/>
        <w:szCs w:val="16"/>
      </w:rPr>
    </w:pPr>
    <w:r>
      <w:rPr>
        <w:rFonts w:ascii="PT Astra Serif" w:hAnsi="PT Astra Serif" w:eastAsia="PT Astra Serif" w:cs="PT Astra Serif"/>
        <w:sz w:val="16"/>
        <w:szCs w:val="16"/>
      </w:rPr>
      <w:t xml:space="preserve">s0306009</w:t>
    </w:r>
    <w:r>
      <w:rPr>
        <w:rFonts w:ascii="PT Astra Serif" w:hAnsi="PT Astra Serif" w:cs="PT Astra Serif"/>
        <w:sz w:val="16"/>
        <w:szCs w:val="16"/>
      </w:rPr>
    </w:r>
    <w:r>
      <w:rPr>
        <w:rFonts w:ascii="PT Astra Serif" w:hAnsi="PT Astra Serif" w:cs="PT Astra Serif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6"/>
      <w:jc w:val="center"/>
      <w:spacing w:before="0" w:beforeAutospacing="0"/>
      <w:rPr>
        <w:rFonts w:ascii="PT Astra Serif" w:hAnsi="PT Astra Serif" w:cs="PT Astra Serif"/>
        <w:sz w:val="24"/>
        <w:szCs w:val="24"/>
      </w:rPr>
    </w:pPr>
    <w:fldSimple w:instr="PAGE \* MERGEFORMAT">
      <w:r>
        <w:rPr>
          <w:rFonts w:ascii="PT Astra Serif" w:hAnsi="PT Astra Serif" w:eastAsia="PT Astra Serif" w:cs="PT Astra Serif"/>
          <w:sz w:val="24"/>
          <w:szCs w:val="24"/>
        </w:rPr>
        <w:t xml:space="preserve">1</w:t>
      </w:r>
    </w:fldSimple>
    <w:r>
      <w:rPr>
        <w:rFonts w:ascii="PT Astra Serif" w:hAnsi="PT Astra Serif" w:eastAsia="PT Astra Serif" w:cs="PT Astra Serif"/>
        <w:sz w:val="24"/>
        <w:szCs w:val="24"/>
      </w:rPr>
    </w:r>
    <w:r>
      <w:rPr>
        <w:rFonts w:ascii="PT Astra Serif" w:hAnsi="PT Astra Serif" w:cs="PT Astra Serif"/>
        <w:sz w:val="24"/>
        <w:szCs w:val="24"/>
      </w:rPr>
    </w:r>
    <w:r>
      <w:rPr>
        <w:rFonts w:ascii="PT Astra Serif" w:hAnsi="PT Astra Serif" w:cs="PT Astra Serif"/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6"/>
      <w:spacing w:before="0" w:beforeAutospacing="0"/>
      <w:rPr>
        <w:rFonts w:ascii="PT Astra Serif" w:hAnsi="PT Astra Serif" w:cs="PT Astra Serif"/>
      </w:rPr>
    </w:pPr>
    <w:r>
      <w:rPr>
        <w:rFonts w:ascii="PT Astra Serif" w:hAnsi="PT Astra Serif" w:eastAsia="PT Astra Serif" w:cs="PT Astra Serif"/>
      </w:rPr>
    </w:r>
    <w:r>
      <w:rPr>
        <w:rFonts w:ascii="PT Astra Serif" w:hAnsi="PT Astra Serif" w:cs="PT Astra Serif"/>
      </w:rPr>
    </w:r>
    <w:r>
      <w:rPr>
        <w:rFonts w:ascii="PT Astra Serif" w:hAnsi="PT Astra Serif" w:cs="PT Astra Serif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ascii="Times New Roman" w:hAnsi="Times New Roman" w:cs="Times New Roman"/>
        <w:b w:val="0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338" w:hanging="360"/>
      </w:pPr>
      <w:rPr>
        <w:rFonts w:cs="Times New Roman"/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713" w:hanging="720"/>
      </w:pPr>
      <w:rPr>
        <w:rFonts w:ascii="Times New Roman" w:hAnsi="Times New Roman" w:cs="Times New Roman"/>
        <w:strike w:val="0"/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6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8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8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1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31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51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71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91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11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31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51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71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9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1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3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5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7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9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1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3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909" w:hanging="120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Calib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8">
    <w:name w:val="Heading 1"/>
    <w:basedOn w:val="896"/>
    <w:next w:val="896"/>
    <w:link w:val="71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9">
    <w:name w:val="Heading 1 Char"/>
    <w:link w:val="718"/>
    <w:uiPriority w:val="9"/>
    <w:rPr>
      <w:rFonts w:ascii="Arial" w:hAnsi="Arial" w:eastAsia="Arial" w:cs="Arial"/>
      <w:sz w:val="40"/>
      <w:szCs w:val="40"/>
    </w:rPr>
  </w:style>
  <w:style w:type="paragraph" w:styleId="720">
    <w:name w:val="Heading 2"/>
    <w:basedOn w:val="896"/>
    <w:next w:val="896"/>
    <w:link w:val="72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1">
    <w:name w:val="Heading 2 Char"/>
    <w:link w:val="720"/>
    <w:uiPriority w:val="9"/>
    <w:rPr>
      <w:rFonts w:ascii="Arial" w:hAnsi="Arial" w:eastAsia="Arial" w:cs="Arial"/>
      <w:sz w:val="34"/>
    </w:rPr>
  </w:style>
  <w:style w:type="paragraph" w:styleId="722">
    <w:name w:val="Heading 3"/>
    <w:basedOn w:val="896"/>
    <w:next w:val="896"/>
    <w:link w:val="72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3">
    <w:name w:val="Heading 3 Char"/>
    <w:link w:val="722"/>
    <w:uiPriority w:val="9"/>
    <w:rPr>
      <w:rFonts w:ascii="Arial" w:hAnsi="Arial" w:eastAsia="Arial" w:cs="Arial"/>
      <w:sz w:val="30"/>
      <w:szCs w:val="30"/>
    </w:rPr>
  </w:style>
  <w:style w:type="paragraph" w:styleId="724">
    <w:name w:val="Heading 4"/>
    <w:basedOn w:val="896"/>
    <w:next w:val="896"/>
    <w:link w:val="72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5">
    <w:name w:val="Heading 4 Char"/>
    <w:link w:val="724"/>
    <w:uiPriority w:val="9"/>
    <w:rPr>
      <w:rFonts w:ascii="Arial" w:hAnsi="Arial" w:eastAsia="Arial" w:cs="Arial"/>
      <w:b/>
      <w:bCs/>
      <w:sz w:val="26"/>
      <w:szCs w:val="26"/>
    </w:rPr>
  </w:style>
  <w:style w:type="paragraph" w:styleId="726">
    <w:name w:val="Heading 5"/>
    <w:basedOn w:val="896"/>
    <w:next w:val="896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7">
    <w:name w:val="Heading 5 Char"/>
    <w:link w:val="726"/>
    <w:uiPriority w:val="9"/>
    <w:rPr>
      <w:rFonts w:ascii="Arial" w:hAnsi="Arial" w:eastAsia="Arial" w:cs="Arial"/>
      <w:b/>
      <w:bCs/>
      <w:sz w:val="24"/>
      <w:szCs w:val="24"/>
    </w:rPr>
  </w:style>
  <w:style w:type="paragraph" w:styleId="728">
    <w:name w:val="Heading 6"/>
    <w:basedOn w:val="896"/>
    <w:next w:val="896"/>
    <w:link w:val="72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9">
    <w:name w:val="Heading 6 Char"/>
    <w:link w:val="728"/>
    <w:uiPriority w:val="9"/>
    <w:rPr>
      <w:rFonts w:ascii="Arial" w:hAnsi="Arial" w:eastAsia="Arial" w:cs="Arial"/>
      <w:b/>
      <w:bCs/>
      <w:sz w:val="22"/>
      <w:szCs w:val="22"/>
    </w:rPr>
  </w:style>
  <w:style w:type="paragraph" w:styleId="730">
    <w:name w:val="Heading 7"/>
    <w:basedOn w:val="896"/>
    <w:next w:val="896"/>
    <w:link w:val="73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1">
    <w:name w:val="Heading 7 Char"/>
    <w:link w:val="73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2">
    <w:name w:val="Heading 8"/>
    <w:basedOn w:val="896"/>
    <w:next w:val="896"/>
    <w:link w:val="73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3">
    <w:name w:val="Heading 8 Char"/>
    <w:link w:val="732"/>
    <w:uiPriority w:val="9"/>
    <w:rPr>
      <w:rFonts w:ascii="Arial" w:hAnsi="Arial" w:eastAsia="Arial" w:cs="Arial"/>
      <w:i/>
      <w:iCs/>
      <w:sz w:val="22"/>
      <w:szCs w:val="22"/>
    </w:rPr>
  </w:style>
  <w:style w:type="paragraph" w:styleId="734">
    <w:name w:val="Heading 9"/>
    <w:basedOn w:val="896"/>
    <w:next w:val="896"/>
    <w:link w:val="73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5">
    <w:name w:val="Heading 9 Char"/>
    <w:link w:val="734"/>
    <w:uiPriority w:val="9"/>
    <w:rPr>
      <w:rFonts w:ascii="Arial" w:hAnsi="Arial" w:eastAsia="Arial" w:cs="Arial"/>
      <w:i/>
      <w:iCs/>
      <w:sz w:val="21"/>
      <w:szCs w:val="21"/>
    </w:rPr>
  </w:style>
  <w:style w:type="paragraph" w:styleId="736">
    <w:name w:val="List Paragraph"/>
    <w:basedOn w:val="896"/>
    <w:uiPriority w:val="34"/>
    <w:qFormat/>
    <w:pPr>
      <w:contextualSpacing/>
      <w:ind w:left="720"/>
    </w:pPr>
  </w:style>
  <w:style w:type="paragraph" w:styleId="737">
    <w:name w:val="No Spacing"/>
    <w:uiPriority w:val="1"/>
    <w:qFormat/>
    <w:pPr>
      <w:spacing w:before="0" w:after="0" w:line="240" w:lineRule="auto"/>
    </w:pPr>
  </w:style>
  <w:style w:type="paragraph" w:styleId="738">
    <w:name w:val="Title"/>
    <w:basedOn w:val="896"/>
    <w:next w:val="896"/>
    <w:link w:val="73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9">
    <w:name w:val="Title Char"/>
    <w:link w:val="738"/>
    <w:uiPriority w:val="10"/>
    <w:rPr>
      <w:sz w:val="48"/>
      <w:szCs w:val="48"/>
    </w:rPr>
  </w:style>
  <w:style w:type="paragraph" w:styleId="740">
    <w:name w:val="Subtitle"/>
    <w:basedOn w:val="896"/>
    <w:next w:val="896"/>
    <w:link w:val="741"/>
    <w:uiPriority w:val="11"/>
    <w:qFormat/>
    <w:pPr>
      <w:spacing w:before="200" w:after="200"/>
    </w:pPr>
    <w:rPr>
      <w:sz w:val="24"/>
      <w:szCs w:val="24"/>
    </w:rPr>
  </w:style>
  <w:style w:type="character" w:styleId="741">
    <w:name w:val="Subtitle Char"/>
    <w:link w:val="740"/>
    <w:uiPriority w:val="11"/>
    <w:rPr>
      <w:sz w:val="24"/>
      <w:szCs w:val="24"/>
    </w:rPr>
  </w:style>
  <w:style w:type="paragraph" w:styleId="742">
    <w:name w:val="Quote"/>
    <w:basedOn w:val="896"/>
    <w:next w:val="896"/>
    <w:link w:val="743"/>
    <w:uiPriority w:val="29"/>
    <w:qFormat/>
    <w:pPr>
      <w:ind w:left="720" w:right="720"/>
    </w:pPr>
    <w:rPr>
      <w:i/>
    </w:rPr>
  </w:style>
  <w:style w:type="character" w:styleId="743">
    <w:name w:val="Quote Char"/>
    <w:link w:val="742"/>
    <w:uiPriority w:val="29"/>
    <w:rPr>
      <w:i/>
    </w:rPr>
  </w:style>
  <w:style w:type="paragraph" w:styleId="744">
    <w:name w:val="Intense Quote"/>
    <w:basedOn w:val="896"/>
    <w:next w:val="896"/>
    <w:link w:val="74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5">
    <w:name w:val="Intense Quote Char"/>
    <w:link w:val="744"/>
    <w:uiPriority w:val="30"/>
    <w:rPr>
      <w:i/>
    </w:rPr>
  </w:style>
  <w:style w:type="paragraph" w:styleId="746">
    <w:name w:val="Header"/>
    <w:basedOn w:val="896"/>
    <w:link w:val="7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7">
    <w:name w:val="Header Char"/>
    <w:link w:val="746"/>
    <w:uiPriority w:val="99"/>
  </w:style>
  <w:style w:type="paragraph" w:styleId="748">
    <w:name w:val="Footer"/>
    <w:basedOn w:val="896"/>
    <w:link w:val="74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9">
    <w:name w:val="Footer Char"/>
    <w:link w:val="748"/>
    <w:uiPriority w:val="99"/>
  </w:style>
  <w:style w:type="paragraph" w:styleId="750">
    <w:name w:val="Caption"/>
    <w:basedOn w:val="896"/>
    <w:next w:val="896"/>
    <w:link w:val="7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1">
    <w:name w:val="Caption Char"/>
    <w:link w:val="750"/>
    <w:uiPriority w:val="35"/>
    <w:rPr>
      <w:b/>
      <w:bCs/>
      <w:color w:val="4f81bd" w:themeColor="accent1"/>
      <w:sz w:val="18"/>
      <w:szCs w:val="18"/>
    </w:rPr>
  </w:style>
  <w:style w:type="table" w:styleId="75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8">
    <w:name w:val="Hyperlink"/>
    <w:uiPriority w:val="99"/>
    <w:unhideWhenUsed/>
    <w:rPr>
      <w:color w:val="0000ff" w:themeColor="hyperlink"/>
      <w:u w:val="single"/>
    </w:rPr>
  </w:style>
  <w:style w:type="paragraph" w:styleId="879">
    <w:name w:val="footnote text"/>
    <w:basedOn w:val="896"/>
    <w:link w:val="880"/>
    <w:uiPriority w:val="99"/>
    <w:semiHidden/>
    <w:unhideWhenUsed/>
    <w:pPr>
      <w:spacing w:after="40" w:line="240" w:lineRule="auto"/>
    </w:pPr>
    <w:rPr>
      <w:sz w:val="18"/>
    </w:rPr>
  </w:style>
  <w:style w:type="character" w:styleId="880">
    <w:name w:val="Footnote Text Char"/>
    <w:link w:val="879"/>
    <w:uiPriority w:val="99"/>
    <w:rPr>
      <w:sz w:val="18"/>
    </w:rPr>
  </w:style>
  <w:style w:type="character" w:styleId="881">
    <w:name w:val="footnote reference"/>
    <w:uiPriority w:val="99"/>
    <w:unhideWhenUsed/>
    <w:rPr>
      <w:vertAlign w:val="superscript"/>
    </w:rPr>
  </w:style>
  <w:style w:type="paragraph" w:styleId="882">
    <w:name w:val="endnote text"/>
    <w:basedOn w:val="896"/>
    <w:link w:val="883"/>
    <w:uiPriority w:val="99"/>
    <w:semiHidden/>
    <w:unhideWhenUsed/>
    <w:pPr>
      <w:spacing w:after="0" w:line="240" w:lineRule="auto"/>
    </w:pPr>
    <w:rPr>
      <w:sz w:val="20"/>
    </w:rPr>
  </w:style>
  <w:style w:type="character" w:styleId="883">
    <w:name w:val="Endnote Text Char"/>
    <w:link w:val="882"/>
    <w:uiPriority w:val="99"/>
    <w:rPr>
      <w:sz w:val="20"/>
    </w:rPr>
  </w:style>
  <w:style w:type="character" w:styleId="884">
    <w:name w:val="endnote reference"/>
    <w:uiPriority w:val="99"/>
    <w:semiHidden/>
    <w:unhideWhenUsed/>
    <w:rPr>
      <w:vertAlign w:val="superscript"/>
    </w:rPr>
  </w:style>
  <w:style w:type="paragraph" w:styleId="885">
    <w:name w:val="toc 1"/>
    <w:basedOn w:val="896"/>
    <w:next w:val="896"/>
    <w:uiPriority w:val="39"/>
    <w:unhideWhenUsed/>
    <w:pPr>
      <w:ind w:left="0" w:right="0" w:firstLine="0"/>
      <w:spacing w:after="57"/>
    </w:pPr>
  </w:style>
  <w:style w:type="paragraph" w:styleId="886">
    <w:name w:val="toc 2"/>
    <w:basedOn w:val="896"/>
    <w:next w:val="896"/>
    <w:uiPriority w:val="39"/>
    <w:unhideWhenUsed/>
    <w:pPr>
      <w:ind w:left="283" w:right="0" w:firstLine="0"/>
      <w:spacing w:after="57"/>
    </w:pPr>
  </w:style>
  <w:style w:type="paragraph" w:styleId="887">
    <w:name w:val="toc 3"/>
    <w:basedOn w:val="896"/>
    <w:next w:val="896"/>
    <w:uiPriority w:val="39"/>
    <w:unhideWhenUsed/>
    <w:pPr>
      <w:ind w:left="567" w:right="0" w:firstLine="0"/>
      <w:spacing w:after="57"/>
    </w:pPr>
  </w:style>
  <w:style w:type="paragraph" w:styleId="888">
    <w:name w:val="toc 4"/>
    <w:basedOn w:val="896"/>
    <w:next w:val="896"/>
    <w:uiPriority w:val="39"/>
    <w:unhideWhenUsed/>
    <w:pPr>
      <w:ind w:left="850" w:right="0" w:firstLine="0"/>
      <w:spacing w:after="57"/>
    </w:pPr>
  </w:style>
  <w:style w:type="paragraph" w:styleId="889">
    <w:name w:val="toc 5"/>
    <w:basedOn w:val="896"/>
    <w:next w:val="896"/>
    <w:uiPriority w:val="39"/>
    <w:unhideWhenUsed/>
    <w:pPr>
      <w:ind w:left="1134" w:right="0" w:firstLine="0"/>
      <w:spacing w:after="57"/>
    </w:pPr>
  </w:style>
  <w:style w:type="paragraph" w:styleId="890">
    <w:name w:val="toc 6"/>
    <w:basedOn w:val="896"/>
    <w:next w:val="896"/>
    <w:uiPriority w:val="39"/>
    <w:unhideWhenUsed/>
    <w:pPr>
      <w:ind w:left="1417" w:right="0" w:firstLine="0"/>
      <w:spacing w:after="57"/>
    </w:pPr>
  </w:style>
  <w:style w:type="paragraph" w:styleId="891">
    <w:name w:val="toc 7"/>
    <w:basedOn w:val="896"/>
    <w:next w:val="896"/>
    <w:uiPriority w:val="39"/>
    <w:unhideWhenUsed/>
    <w:pPr>
      <w:ind w:left="1701" w:right="0" w:firstLine="0"/>
      <w:spacing w:after="57"/>
    </w:pPr>
  </w:style>
  <w:style w:type="paragraph" w:styleId="892">
    <w:name w:val="toc 8"/>
    <w:basedOn w:val="896"/>
    <w:next w:val="896"/>
    <w:uiPriority w:val="39"/>
    <w:unhideWhenUsed/>
    <w:pPr>
      <w:ind w:left="1984" w:right="0" w:firstLine="0"/>
      <w:spacing w:after="57"/>
    </w:pPr>
  </w:style>
  <w:style w:type="paragraph" w:styleId="893">
    <w:name w:val="toc 9"/>
    <w:basedOn w:val="896"/>
    <w:next w:val="896"/>
    <w:uiPriority w:val="39"/>
    <w:unhideWhenUsed/>
    <w:pPr>
      <w:ind w:left="2268" w:right="0" w:firstLine="0"/>
      <w:spacing w:after="57"/>
    </w:pPr>
  </w:style>
  <w:style w:type="paragraph" w:styleId="894">
    <w:name w:val="TOC Heading"/>
    <w:uiPriority w:val="39"/>
    <w:unhideWhenUsed/>
  </w:style>
  <w:style w:type="paragraph" w:styleId="895">
    <w:name w:val="table of figures"/>
    <w:basedOn w:val="896"/>
    <w:next w:val="896"/>
    <w:uiPriority w:val="99"/>
    <w:unhideWhenUsed/>
    <w:pPr>
      <w:spacing w:after="0" w:afterAutospacing="0"/>
    </w:pPr>
  </w:style>
  <w:style w:type="paragraph" w:styleId="896" w:default="1">
    <w:name w:val="Normal"/>
    <w:next w:val="896"/>
    <w:link w:val="896"/>
    <w:pPr>
      <w:spacing w:before="100" w:after="100"/>
    </w:pPr>
    <w:rPr>
      <w:rFonts w:ascii="Times New Roman" w:hAnsi="Times New Roman" w:cs="Times New Roman"/>
      <w:sz w:val="24"/>
      <w:lang w:val="ru-RU" w:eastAsia="ru-RU" w:bidi="ar-SA"/>
    </w:rPr>
  </w:style>
  <w:style w:type="paragraph" w:styleId="897">
    <w:name w:val="Заголовок 2"/>
    <w:basedOn w:val="896"/>
    <w:next w:val="896"/>
    <w:link w:val="902"/>
    <w:uiPriority w:val="9"/>
    <w:semiHidden/>
    <w:unhideWhenUsed/>
    <w:qFormat/>
    <w:pPr>
      <w:ind w:firstLine="709"/>
      <w:jc w:val="both"/>
      <w:keepLines/>
      <w:keepNext/>
      <w:spacing w:before="40" w:after="0"/>
      <w:outlineLvl w:val="1"/>
    </w:pPr>
    <w:rPr>
      <w:rFonts w:ascii="Cambria" w:hAnsi="Cambria" w:eastAsia="Times New Roman"/>
      <w:color w:val="365f91"/>
      <w:sz w:val="26"/>
      <w:szCs w:val="26"/>
    </w:rPr>
  </w:style>
  <w:style w:type="paragraph" w:styleId="898">
    <w:name w:val="Заголовок 3"/>
    <w:basedOn w:val="896"/>
    <w:next w:val="896"/>
    <w:link w:val="903"/>
    <w:uiPriority w:val="99"/>
    <w:qFormat/>
    <w:pPr>
      <w:ind w:firstLine="709"/>
      <w:jc w:val="center"/>
      <w:keepNext/>
      <w:spacing w:before="0" w:after="0"/>
      <w:outlineLvl w:val="2"/>
    </w:pPr>
    <w:rPr>
      <w:b/>
      <w:caps/>
      <w:sz w:val="22"/>
    </w:rPr>
  </w:style>
  <w:style w:type="character" w:styleId="899">
    <w:name w:val="Основной шрифт абзаца"/>
    <w:next w:val="899"/>
    <w:link w:val="896"/>
    <w:uiPriority w:val="1"/>
    <w:semiHidden/>
    <w:unhideWhenUsed/>
  </w:style>
  <w:style w:type="table" w:styleId="900">
    <w:name w:val="Обычная таблица"/>
    <w:next w:val="900"/>
    <w:link w:val="896"/>
    <w:uiPriority w:val="99"/>
    <w:semiHidden/>
    <w:unhideWhenUsed/>
    <w:qFormat/>
    <w:tblPr/>
  </w:style>
  <w:style w:type="numbering" w:styleId="901">
    <w:name w:val="Нет списка"/>
    <w:next w:val="901"/>
    <w:link w:val="896"/>
    <w:uiPriority w:val="99"/>
    <w:semiHidden/>
    <w:unhideWhenUsed/>
  </w:style>
  <w:style w:type="character" w:styleId="902">
    <w:name w:val="Заголовок 2 Знак"/>
    <w:basedOn w:val="899"/>
    <w:next w:val="902"/>
    <w:link w:val="897"/>
    <w:uiPriority w:val="9"/>
    <w:semiHidden/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character" w:styleId="903">
    <w:name w:val="Заголовок 3 Знак"/>
    <w:basedOn w:val="899"/>
    <w:next w:val="903"/>
    <w:link w:val="898"/>
    <w:uiPriority w:val="99"/>
    <w:rPr>
      <w:rFonts w:ascii="Times New Roman" w:hAnsi="Times New Roman" w:cs="Times New Roman"/>
      <w:b/>
      <w:caps/>
      <w:sz w:val="20"/>
      <w:szCs w:val="20"/>
      <w:lang w:eastAsia="ru-RU"/>
    </w:rPr>
  </w:style>
  <w:style w:type="paragraph" w:styleId="904">
    <w:name w:val="Обычный (веб)"/>
    <w:basedOn w:val="896"/>
    <w:next w:val="904"/>
    <w:link w:val="896"/>
    <w:uiPriority w:val="99"/>
    <w:unhideWhenUsed/>
    <w:pPr>
      <w:spacing w:beforeAutospacing="1" w:afterAutospacing="1"/>
    </w:pPr>
    <w:rPr>
      <w:szCs w:val="24"/>
    </w:rPr>
  </w:style>
  <w:style w:type="paragraph" w:styleId="905">
    <w:name w:val="Основной текст"/>
    <w:basedOn w:val="896"/>
    <w:next w:val="905"/>
    <w:link w:val="906"/>
    <w:uiPriority w:val="99"/>
    <w:pPr>
      <w:jc w:val="center"/>
      <w:spacing w:before="0" w:after="0"/>
    </w:pPr>
    <w:rPr>
      <w:rFonts w:ascii="Times New Roman CYR" w:hAnsi="Times New Roman CYR"/>
      <w:b/>
      <w:sz w:val="34"/>
    </w:rPr>
  </w:style>
  <w:style w:type="character" w:styleId="906">
    <w:name w:val="Основной текст Знак"/>
    <w:basedOn w:val="899"/>
    <w:next w:val="906"/>
    <w:link w:val="905"/>
    <w:uiPriority w:val="99"/>
    <w:rPr>
      <w:rFonts w:ascii="Times New Roman CYR" w:hAnsi="Times New Roman CYR" w:cs="Times New Roman"/>
      <w:b/>
      <w:sz w:val="20"/>
      <w:szCs w:val="20"/>
      <w:lang w:eastAsia="ru-RU"/>
    </w:rPr>
  </w:style>
  <w:style w:type="paragraph" w:styleId="907">
    <w:name w:val="14-15"/>
    <w:basedOn w:val="908"/>
    <w:next w:val="907"/>
    <w:link w:val="896"/>
    <w:pPr>
      <w:ind w:left="0" w:firstLine="709"/>
      <w:jc w:val="both"/>
      <w:spacing w:after="0" w:line="360" w:lineRule="auto"/>
    </w:pPr>
  </w:style>
  <w:style w:type="paragraph" w:styleId="908">
    <w:name w:val="Основной текст с отступом"/>
    <w:basedOn w:val="896"/>
    <w:next w:val="908"/>
    <w:link w:val="909"/>
    <w:uiPriority w:val="99"/>
    <w:semiHidden/>
    <w:unhideWhenUsed/>
    <w:pPr>
      <w:ind w:left="283"/>
      <w:jc w:val="center"/>
      <w:spacing w:before="0" w:after="120"/>
    </w:pPr>
    <w:rPr>
      <w:sz w:val="28"/>
      <w:szCs w:val="28"/>
    </w:rPr>
  </w:style>
  <w:style w:type="character" w:styleId="909">
    <w:name w:val="Основной текст с отступом Знак"/>
    <w:basedOn w:val="899"/>
    <w:next w:val="909"/>
    <w:link w:val="908"/>
    <w:uiPriority w:val="99"/>
    <w:semiHidden/>
    <w:rPr>
      <w:rFonts w:ascii="Times New Roman" w:hAnsi="Times New Roman" w:cs="Times New Roman"/>
      <w:sz w:val="28"/>
      <w:szCs w:val="28"/>
      <w:lang w:eastAsia="ru-RU"/>
    </w:rPr>
  </w:style>
  <w:style w:type="paragraph" w:styleId="910">
    <w:name w:val="текст14,5"/>
    <w:basedOn w:val="896"/>
    <w:next w:val="910"/>
    <w:link w:val="896"/>
    <w:pPr>
      <w:ind w:firstLine="720"/>
      <w:jc w:val="both"/>
      <w:spacing w:before="0" w:after="0" w:line="360" w:lineRule="auto"/>
    </w:pPr>
    <w:rPr>
      <w:sz w:val="28"/>
      <w:szCs w:val="28"/>
    </w:rPr>
  </w:style>
  <w:style w:type="paragraph" w:styleId="911">
    <w:name w:val="Абзац списка"/>
    <w:basedOn w:val="896"/>
    <w:next w:val="911"/>
    <w:link w:val="896"/>
    <w:uiPriority w:val="34"/>
    <w:qFormat/>
    <w:pPr>
      <w:contextualSpacing/>
      <w:ind w:left="720"/>
      <w:spacing w:before="0" w:after="200" w:line="276" w:lineRule="auto"/>
    </w:pPr>
    <w:rPr>
      <w:rFonts w:ascii="Calibri" w:hAnsi="Calibri" w:cs="Times New Roman"/>
      <w:sz w:val="22"/>
      <w:szCs w:val="22"/>
      <w:lang w:eastAsia="en-US"/>
    </w:rPr>
  </w:style>
  <w:style w:type="paragraph" w:styleId="912">
    <w:name w:val="ConsPlusNormal"/>
    <w:next w:val="912"/>
    <w:link w:val="896"/>
    <w:pPr>
      <w:ind w:firstLine="709"/>
      <w:jc w:val="both"/>
      <w:widowControl w:val="off"/>
    </w:pPr>
    <w:rPr>
      <w:sz w:val="28"/>
      <w:lang w:val="ru-RU" w:eastAsia="ru-RU" w:bidi="ar-SA"/>
    </w:rPr>
  </w:style>
  <w:style w:type="paragraph" w:styleId="913">
    <w:name w:val="Верхний колонтитул"/>
    <w:basedOn w:val="896"/>
    <w:next w:val="913"/>
    <w:link w:val="914"/>
    <w:uiPriority w:val="99"/>
    <w:unhideWhenUsed/>
    <w:pPr>
      <w:ind w:firstLine="709"/>
      <w:jc w:val="both"/>
      <w:spacing w:before="0" w:after="0"/>
      <w:tabs>
        <w:tab w:val="center" w:pos="4677" w:leader="none"/>
        <w:tab w:val="right" w:pos="9355" w:leader="none"/>
      </w:tabs>
    </w:pPr>
    <w:rPr>
      <w:szCs w:val="24"/>
    </w:rPr>
  </w:style>
  <w:style w:type="character" w:styleId="914">
    <w:name w:val="Верхний колонтитул Знак"/>
    <w:basedOn w:val="899"/>
    <w:next w:val="914"/>
    <w:link w:val="913"/>
    <w:uiPriority w:val="99"/>
    <w:qFormat/>
    <w:rPr>
      <w:rFonts w:ascii="Times New Roman" w:hAnsi="Times New Roman" w:cs="Times New Roman"/>
      <w:sz w:val="24"/>
      <w:szCs w:val="24"/>
      <w:lang w:eastAsia="ru-RU"/>
    </w:rPr>
  </w:style>
  <w:style w:type="paragraph" w:styleId="915">
    <w:name w:val="Нижний колонтитул"/>
    <w:basedOn w:val="896"/>
    <w:next w:val="915"/>
    <w:link w:val="916"/>
    <w:uiPriority w:val="99"/>
    <w:unhideWhenUsed/>
    <w:pPr>
      <w:ind w:firstLine="709"/>
      <w:jc w:val="both"/>
      <w:spacing w:before="0" w:after="0"/>
      <w:tabs>
        <w:tab w:val="center" w:pos="4677" w:leader="none"/>
        <w:tab w:val="right" w:pos="9355" w:leader="none"/>
      </w:tabs>
    </w:pPr>
    <w:rPr>
      <w:szCs w:val="24"/>
    </w:rPr>
  </w:style>
  <w:style w:type="character" w:styleId="916">
    <w:name w:val="Нижний колонтитул Знак"/>
    <w:basedOn w:val="899"/>
    <w:next w:val="916"/>
    <w:link w:val="915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17">
    <w:name w:val="Обычный1"/>
    <w:next w:val="917"/>
    <w:link w:val="896"/>
    <w:pPr>
      <w:ind w:firstLine="709"/>
      <w:jc w:val="both"/>
      <w:spacing w:before="100" w:after="100"/>
    </w:pPr>
    <w:rPr>
      <w:rFonts w:ascii="Times New Roman" w:hAnsi="Times New Roman" w:cs="Times New Roman"/>
      <w:sz w:val="24"/>
      <w:lang w:val="ru-RU" w:eastAsia="ru-RU" w:bidi="ar-SA"/>
    </w:rPr>
  </w:style>
  <w:style w:type="paragraph" w:styleId="918">
    <w:name w:val="Норм"/>
    <w:basedOn w:val="896"/>
    <w:next w:val="918"/>
    <w:link w:val="896"/>
    <w:pPr>
      <w:ind w:firstLine="709"/>
      <w:jc w:val="center"/>
      <w:spacing w:before="0" w:after="0"/>
    </w:pPr>
    <w:rPr>
      <w:sz w:val="28"/>
      <w:szCs w:val="24"/>
    </w:rPr>
  </w:style>
  <w:style w:type="paragraph" w:styleId="919">
    <w:name w:val="Обычный3"/>
    <w:next w:val="919"/>
    <w:link w:val="896"/>
    <w:pPr>
      <w:spacing w:before="100" w:after="100"/>
    </w:pPr>
    <w:rPr>
      <w:rFonts w:ascii="Times New Roman" w:hAnsi="Times New Roman" w:cs="Times New Roman"/>
      <w:sz w:val="24"/>
      <w:lang w:val="ru-RU" w:eastAsia="ru-RU" w:bidi="ar-SA"/>
    </w:rPr>
  </w:style>
  <w:style w:type="paragraph" w:styleId="920">
    <w:name w:val="Текст сноски"/>
    <w:basedOn w:val="896"/>
    <w:next w:val="920"/>
    <w:link w:val="921"/>
    <w:uiPriority w:val="99"/>
    <w:unhideWhenUsed/>
    <w:pPr>
      <w:ind w:firstLine="709"/>
      <w:jc w:val="both"/>
      <w:spacing w:before="0" w:after="0"/>
    </w:pPr>
    <w:rPr>
      <w:sz w:val="20"/>
    </w:rPr>
  </w:style>
  <w:style w:type="character" w:styleId="921">
    <w:name w:val="Текст сноски Знак"/>
    <w:basedOn w:val="899"/>
    <w:next w:val="921"/>
    <w:link w:val="920"/>
    <w:uiPriority w:val="99"/>
    <w:rPr>
      <w:rFonts w:ascii="Times New Roman" w:hAnsi="Times New Roman" w:cs="Times New Roman"/>
      <w:sz w:val="20"/>
      <w:szCs w:val="20"/>
      <w:lang w:eastAsia="ru-RU"/>
    </w:rPr>
  </w:style>
  <w:style w:type="character" w:styleId="922">
    <w:name w:val="Знак сноски"/>
    <w:basedOn w:val="899"/>
    <w:next w:val="922"/>
    <w:link w:val="896"/>
    <w:uiPriority w:val="99"/>
    <w:rPr>
      <w:rFonts w:cs="Times New Roman"/>
      <w:caps/>
      <w:sz w:val="28"/>
      <w:szCs w:val="28"/>
      <w:vertAlign w:val="superscript"/>
    </w:rPr>
  </w:style>
  <w:style w:type="paragraph" w:styleId="923">
    <w:name w:val="Текст примечания"/>
    <w:basedOn w:val="896"/>
    <w:next w:val="923"/>
    <w:link w:val="924"/>
    <w:uiPriority w:val="99"/>
    <w:unhideWhenUsed/>
    <w:pPr>
      <w:ind w:firstLine="709"/>
      <w:jc w:val="both"/>
      <w:spacing w:before="0" w:after="0"/>
    </w:pPr>
    <w:rPr>
      <w:sz w:val="20"/>
    </w:rPr>
  </w:style>
  <w:style w:type="character" w:styleId="924">
    <w:name w:val="Текст примечания Знак"/>
    <w:basedOn w:val="899"/>
    <w:next w:val="924"/>
    <w:link w:val="923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styleId="925">
    <w:name w:val="текст14-15"/>
    <w:basedOn w:val="896"/>
    <w:next w:val="925"/>
    <w:link w:val="896"/>
    <w:uiPriority w:val="99"/>
    <w:pPr>
      <w:ind w:firstLine="709"/>
      <w:jc w:val="both"/>
      <w:spacing w:before="0" w:after="0" w:line="360" w:lineRule="auto"/>
      <w:widowControl w:val="off"/>
    </w:pPr>
    <w:rPr>
      <w:sz w:val="28"/>
      <w:szCs w:val="28"/>
    </w:rPr>
  </w:style>
  <w:style w:type="paragraph" w:styleId="926">
    <w:name w:val="Текст выноски"/>
    <w:basedOn w:val="896"/>
    <w:next w:val="926"/>
    <w:link w:val="927"/>
    <w:uiPriority w:val="99"/>
    <w:semiHidden/>
    <w:unhideWhenUsed/>
    <w:pPr>
      <w:ind w:firstLine="709"/>
      <w:jc w:val="both"/>
      <w:spacing w:before="0" w:after="0"/>
    </w:pPr>
    <w:rPr>
      <w:rFonts w:ascii="Tahoma" w:hAnsi="Tahoma" w:cs="Tahoma"/>
      <w:sz w:val="16"/>
      <w:szCs w:val="16"/>
    </w:rPr>
  </w:style>
  <w:style w:type="character" w:styleId="927">
    <w:name w:val="Текст выноски Знак"/>
    <w:basedOn w:val="899"/>
    <w:next w:val="927"/>
    <w:link w:val="926"/>
    <w:uiPriority w:val="99"/>
    <w:semiHidden/>
    <w:rPr>
      <w:rFonts w:ascii="Tahoma" w:hAnsi="Tahoma" w:cs="Tahoma"/>
      <w:sz w:val="16"/>
      <w:szCs w:val="16"/>
      <w:lang w:eastAsia="ru-RU"/>
    </w:rPr>
  </w:style>
  <w:style w:type="character" w:styleId="928">
    <w:name w:val="Выделение"/>
    <w:basedOn w:val="899"/>
    <w:next w:val="928"/>
    <w:link w:val="896"/>
    <w:uiPriority w:val="20"/>
    <w:qFormat/>
    <w:rPr>
      <w:rFonts w:cs="Times New Roman"/>
      <w:i/>
      <w:iCs/>
    </w:rPr>
  </w:style>
  <w:style w:type="paragraph" w:styleId="929">
    <w:name w:val="Текст концевой сноски"/>
    <w:basedOn w:val="896"/>
    <w:next w:val="929"/>
    <w:link w:val="930"/>
    <w:uiPriority w:val="99"/>
    <w:semiHidden/>
    <w:unhideWhenUsed/>
    <w:pPr>
      <w:ind w:firstLine="709"/>
      <w:jc w:val="both"/>
      <w:spacing w:before="0" w:after="0"/>
    </w:pPr>
    <w:rPr>
      <w:sz w:val="20"/>
    </w:rPr>
  </w:style>
  <w:style w:type="character" w:styleId="930">
    <w:name w:val="Текст концевой сноски Знак"/>
    <w:basedOn w:val="899"/>
    <w:next w:val="930"/>
    <w:link w:val="929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paragraph" w:styleId="931">
    <w:name w:val="Тема примечания"/>
    <w:basedOn w:val="923"/>
    <w:next w:val="923"/>
    <w:link w:val="932"/>
    <w:uiPriority w:val="99"/>
    <w:semiHidden/>
    <w:unhideWhenUsed/>
    <w:rPr>
      <w:b/>
      <w:bCs/>
    </w:rPr>
  </w:style>
  <w:style w:type="character" w:styleId="932">
    <w:name w:val="Тема примечания Знак"/>
    <w:basedOn w:val="924"/>
    <w:next w:val="932"/>
    <w:link w:val="931"/>
    <w:uiPriority w:val="99"/>
    <w:semiHidden/>
    <w:rPr>
      <w:b/>
      <w:bCs/>
    </w:rPr>
  </w:style>
  <w:style w:type="paragraph" w:styleId="933">
    <w:name w:val="заголовок 7"/>
    <w:basedOn w:val="896"/>
    <w:next w:val="896"/>
    <w:link w:val="896"/>
    <w:uiPriority w:val="99"/>
    <w:pPr>
      <w:jc w:val="center"/>
      <w:keepNext/>
      <w:spacing w:before="0" w:after="0"/>
      <w:widowControl w:val="off"/>
    </w:pPr>
    <w:rPr>
      <w:b/>
      <w:bCs/>
      <w:sz w:val="28"/>
      <w:szCs w:val="28"/>
    </w:rPr>
  </w:style>
  <w:style w:type="table" w:styleId="934">
    <w:name w:val="Сетка таблицы"/>
    <w:basedOn w:val="900"/>
    <w:next w:val="934"/>
    <w:link w:val="896"/>
    <w:uiPriority w:val="39"/>
    <w:pPr>
      <w:spacing w:after="0" w:line="240" w:lineRule="auto"/>
    </w:pPr>
    <w:tblPr/>
  </w:style>
  <w:style w:type="character" w:styleId="935">
    <w:name w:val="Знак концевой сноски"/>
    <w:basedOn w:val="899"/>
    <w:next w:val="935"/>
    <w:link w:val="896"/>
    <w:uiPriority w:val="99"/>
    <w:semiHidden/>
    <w:unhideWhenUsed/>
    <w:rPr>
      <w:rFonts w:cs="Times New Roman"/>
      <w:vertAlign w:val="superscript"/>
    </w:rPr>
  </w:style>
  <w:style w:type="character" w:styleId="936">
    <w:name w:val="Гиперссылка"/>
    <w:basedOn w:val="899"/>
    <w:next w:val="936"/>
    <w:link w:val="896"/>
    <w:uiPriority w:val="99"/>
    <w:rPr>
      <w:rFonts w:cs="Times New Roman"/>
      <w:color w:val="0000ff"/>
      <w:u w:val="single"/>
    </w:rPr>
  </w:style>
  <w:style w:type="paragraph" w:styleId="937">
    <w:name w:val="Загл.14"/>
    <w:basedOn w:val="896"/>
    <w:next w:val="937"/>
    <w:link w:val="896"/>
    <w:uiPriority w:val="99"/>
    <w:pPr>
      <w:jc w:val="center"/>
      <w:spacing w:before="0" w:after="0"/>
    </w:pPr>
    <w:rPr>
      <w:rFonts w:ascii="Times New Roman CYR" w:hAnsi="Times New Roman CYR" w:cs="Times New Roman CYR"/>
      <w:b/>
      <w:bCs/>
      <w:sz w:val="28"/>
      <w:szCs w:val="28"/>
    </w:rPr>
  </w:style>
  <w:style w:type="character" w:styleId="938">
    <w:name w:val="Знак примечания"/>
    <w:basedOn w:val="899"/>
    <w:next w:val="938"/>
    <w:link w:val="896"/>
    <w:uiPriority w:val="99"/>
    <w:semiHidden/>
    <w:unhideWhenUsed/>
    <w:rPr>
      <w:rFonts w:cs="Times New Roman"/>
      <w:sz w:val="16"/>
      <w:szCs w:val="16"/>
    </w:rPr>
  </w:style>
  <w:style w:type="table" w:styleId="939">
    <w:name w:val="Сетка таблицы1"/>
    <w:basedOn w:val="900"/>
    <w:next w:val="934"/>
    <w:link w:val="896"/>
    <w:uiPriority w:val="39"/>
    <w:pPr>
      <w:jc w:val="center"/>
      <w:spacing w:before="100" w:after="0" w:line="240" w:lineRule="auto"/>
    </w:pPr>
    <w:tblPr/>
  </w:style>
  <w:style w:type="paragraph" w:styleId="940">
    <w:name w:val="Проектный"/>
    <w:basedOn w:val="896"/>
    <w:next w:val="940"/>
    <w:link w:val="896"/>
    <w:pPr>
      <w:ind w:firstLine="709"/>
      <w:jc w:val="both"/>
      <w:spacing w:before="0" w:after="120" w:line="360" w:lineRule="auto"/>
    </w:pPr>
    <w:rPr>
      <w:sz w:val="28"/>
    </w:rPr>
  </w:style>
  <w:style w:type="character" w:styleId="941" w:default="1">
    <w:name w:val="Default Paragraph Font"/>
    <w:uiPriority w:val="1"/>
    <w:semiHidden/>
    <w:unhideWhenUsed/>
  </w:style>
  <w:style w:type="numbering" w:styleId="942" w:default="1">
    <w:name w:val="No List"/>
    <w:uiPriority w:val="99"/>
    <w:semiHidden/>
    <w:unhideWhenUsed/>
  </w:style>
  <w:style w:type="table" w:styleId="943" w:default="1">
    <w:name w:val="Normal Table"/>
    <w:uiPriority w:val="99"/>
    <w:semiHidden/>
    <w:unhideWhenUsed/>
    <w:tblPr/>
  </w:style>
  <w:style w:type="paragraph" w:styleId="944" w:customStyle="1">
    <w:name w:val="Body Text Indent 3"/>
    <w:basedOn w:val="846"/>
    <w:pPr>
      <w:contextualSpacing w:val="0"/>
      <w:ind w:left="0" w:right="0" w:firstLine="851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image" Target="media/image1.png"/><Relationship Id="rId14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Цитович Ксения Васильевна</dc:creator>
  <cp:keywords/>
  <dc:description/>
  <cp:lastModifiedBy>a.v.nesmelova</cp:lastModifiedBy>
  <cp:revision>30</cp:revision>
  <dcterms:created xsi:type="dcterms:W3CDTF">2025-07-21T07:43:00Z</dcterms:created>
  <dcterms:modified xsi:type="dcterms:W3CDTF">2026-06-17T10:59:13Z</dcterms:modified>
  <cp:version>786432</cp:version>
</cp:coreProperties>
</file>